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7387" w:type="dxa"/>
        <w:tblInd w:w="0" w:type="dxa"/>
        <w:tblCellMar>
          <w:top w:w="0" w:type="dxa"/>
          <w:left w:w="0" w:type="dxa"/>
          <w:bottom w:w="0" w:type="dxa"/>
          <w:right w:w="0" w:type="dxa"/>
        </w:tblCellMar>
        <w:tblLook w:val="04A0" w:firstRow="1" w:lastRow="0" w:firstColumn="1" w:lastColumn="0" w:noHBand="0" w:noVBand="1"/>
      </w:tblPr>
      <w:tblGrid>
        <w:gridCol w:w="4490"/>
        <w:gridCol w:w="2897"/>
      </w:tblGrid>
      <w:tr w:rsidR="003E5445">
        <w:trPr>
          <w:trHeight w:val="859"/>
        </w:trPr>
        <w:tc>
          <w:tcPr>
            <w:tcW w:w="4490" w:type="dxa"/>
            <w:tcBorders>
              <w:top w:val="nil"/>
              <w:left w:val="nil"/>
              <w:bottom w:val="nil"/>
              <w:right w:val="nil"/>
            </w:tcBorders>
          </w:tcPr>
          <w:p w:rsidR="003E5445" w:rsidRDefault="000C2A2D">
            <w:pPr>
              <w:spacing w:after="0" w:line="259" w:lineRule="auto"/>
              <w:ind w:left="0" w:right="2165" w:firstLine="0"/>
            </w:pPr>
            <w:bookmarkStart w:id="0" w:name="_GoBack"/>
            <w:bookmarkEnd w:id="0"/>
            <w:r>
              <w:rPr>
                <w:rFonts w:ascii="Arial" w:eastAsia="Arial" w:hAnsi="Arial" w:cs="Arial"/>
                <w:b/>
                <w:sz w:val="28"/>
              </w:rPr>
              <w:t>Certifications and Representations of Offerors</w:t>
            </w:r>
          </w:p>
        </w:tc>
        <w:tc>
          <w:tcPr>
            <w:tcW w:w="2897" w:type="dxa"/>
            <w:tcBorders>
              <w:top w:val="nil"/>
              <w:left w:val="nil"/>
              <w:bottom w:val="nil"/>
              <w:right w:val="nil"/>
            </w:tcBorders>
          </w:tcPr>
          <w:p w:rsidR="003E5445" w:rsidRDefault="000C2A2D">
            <w:pPr>
              <w:spacing w:after="0" w:line="234" w:lineRule="auto"/>
              <w:ind w:left="0" w:right="114" w:firstLine="0"/>
              <w:jc w:val="left"/>
            </w:pPr>
            <w:r>
              <w:rPr>
                <w:rFonts w:ascii="Arial" w:eastAsia="Arial" w:hAnsi="Arial" w:cs="Arial"/>
                <w:b/>
                <w:sz w:val="18"/>
              </w:rPr>
              <w:t>U.S. Department of Housing and Urban Development</w:t>
            </w:r>
          </w:p>
          <w:p w:rsidR="003E5445" w:rsidRDefault="000C2A2D">
            <w:pPr>
              <w:spacing w:after="0" w:line="259" w:lineRule="auto"/>
              <w:ind w:left="0" w:firstLine="0"/>
            </w:pPr>
            <w:r>
              <w:rPr>
                <w:rFonts w:ascii="Arial" w:eastAsia="Arial" w:hAnsi="Arial" w:cs="Arial"/>
                <w:sz w:val="18"/>
              </w:rPr>
              <w:t>Office of Public and Indian Housing</w:t>
            </w:r>
          </w:p>
        </w:tc>
      </w:tr>
    </w:tbl>
    <w:p w:rsidR="003E5445" w:rsidRDefault="000C2A2D">
      <w:pPr>
        <w:spacing w:after="0" w:line="259" w:lineRule="auto"/>
        <w:ind w:left="0" w:firstLine="0"/>
        <w:jc w:val="left"/>
      </w:pPr>
      <w:r>
        <w:rPr>
          <w:rFonts w:ascii="Arial" w:eastAsia="Arial" w:hAnsi="Arial" w:cs="Arial"/>
          <w:sz w:val="28"/>
        </w:rPr>
        <w:t>Non-Construction Contract</w:t>
      </w:r>
    </w:p>
    <w:p w:rsidR="003E5445" w:rsidRDefault="000C2A2D">
      <w:pPr>
        <w:spacing w:after="135" w:line="259" w:lineRule="auto"/>
        <w:ind w:left="0" w:firstLine="0"/>
        <w:jc w:val="left"/>
      </w:pPr>
      <w:r>
        <w:rPr>
          <w:rFonts w:ascii="Calibri" w:eastAsia="Calibri" w:hAnsi="Calibri" w:cs="Calibri"/>
          <w:noProof/>
          <w:sz w:val="22"/>
        </w:rPr>
        <mc:AlternateContent>
          <mc:Choice Requires="wpg">
            <w:drawing>
              <wp:inline distT="0" distB="0" distL="0" distR="0">
                <wp:extent cx="7162800" cy="12192"/>
                <wp:effectExtent l="0" t="0" r="0" b="0"/>
                <wp:docPr id="2850" name="Group 2850"/>
                <wp:cNvGraphicFramePr/>
                <a:graphic xmlns:a="http://schemas.openxmlformats.org/drawingml/2006/main">
                  <a:graphicData uri="http://schemas.microsoft.com/office/word/2010/wordprocessingGroup">
                    <wpg:wgp>
                      <wpg:cNvGrpSpPr/>
                      <wpg:grpSpPr>
                        <a:xfrm>
                          <a:off x="0" y="0"/>
                          <a:ext cx="7162800" cy="12192"/>
                          <a:chOff x="0" y="0"/>
                          <a:chExt cx="7162800" cy="12192"/>
                        </a:xfrm>
                      </wpg:grpSpPr>
                      <wps:wsp>
                        <wps:cNvPr id="103" name="Shape 103"/>
                        <wps:cNvSpPr/>
                        <wps:spPr>
                          <a:xfrm>
                            <a:off x="0" y="0"/>
                            <a:ext cx="7162800" cy="0"/>
                          </a:xfrm>
                          <a:custGeom>
                            <a:avLst/>
                            <a:gdLst/>
                            <a:ahLst/>
                            <a:cxnLst/>
                            <a:rect l="0" t="0" r="0" b="0"/>
                            <a:pathLst>
                              <a:path w="7162800">
                                <a:moveTo>
                                  <a:pt x="0" y="0"/>
                                </a:moveTo>
                                <a:lnTo>
                                  <a:pt x="7162800" y="0"/>
                                </a:lnTo>
                              </a:path>
                            </a:pathLst>
                          </a:custGeom>
                          <a:ln w="12192"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850" style="width:564pt;height:0.96pt;mso-position-horizontal-relative:char;mso-position-vertical-relative:line" coordsize="71628,121">
                <v:shape id="Shape 103" style="position:absolute;width:71628;height:0;left:0;top:0;" coordsize="7162800,0" path="m0,0l7162800,0">
                  <v:stroke weight="0.96pt" endcap="flat" joinstyle="miter" miterlimit="10" on="true" color="#000000"/>
                  <v:fill on="false" color="#000000" opacity="0"/>
                </v:shape>
              </v:group>
            </w:pict>
          </mc:Fallback>
        </mc:AlternateContent>
      </w:r>
    </w:p>
    <w:p w:rsidR="003E5445" w:rsidRDefault="000C2A2D">
      <w:pPr>
        <w:spacing w:after="60" w:line="235" w:lineRule="auto"/>
        <w:ind w:left="-5" w:right="-15"/>
      </w:pPr>
      <w:r>
        <w:rPr>
          <w:rFonts w:ascii="Arial" w:eastAsia="Arial" w:hAnsi="Arial" w:cs="Arial"/>
          <w:sz w:val="16"/>
        </w:rPr>
        <w:t>Public reporting burden for this collection of information is estimated to average  5 minutes per response, including the time for reviewing instructions, searching existing data sources, gathering and maintaining the data needed, and completing and review</w:t>
      </w:r>
      <w:r>
        <w:rPr>
          <w:rFonts w:ascii="Arial" w:eastAsia="Arial" w:hAnsi="Arial" w:cs="Arial"/>
          <w:sz w:val="16"/>
        </w:rPr>
        <w:t>ing the collection of information.</w:t>
      </w:r>
    </w:p>
    <w:p w:rsidR="003E5445" w:rsidRDefault="000C2A2D">
      <w:pPr>
        <w:spacing w:after="0" w:line="235" w:lineRule="auto"/>
        <w:ind w:left="-5" w:right="-15"/>
      </w:pPr>
      <w:r>
        <w:rPr>
          <w:rFonts w:ascii="Arial" w:eastAsia="Arial" w:hAnsi="Arial" w:cs="Arial"/>
          <w:sz w:val="16"/>
        </w:rPr>
        <w:t>This form includes clauses required by OMB’s common rule on bidding/offering procedures, implemented by HUD in 24 CFR 85.36, and those requirements set forth in Executive Order 11625 for small, minority, women-owned businesses, and certifications for indep</w:t>
      </w:r>
      <w:r>
        <w:rPr>
          <w:rFonts w:ascii="Arial" w:eastAsia="Arial" w:hAnsi="Arial" w:cs="Arial"/>
          <w:sz w:val="16"/>
        </w:rPr>
        <w:t>endent price determination, and conflict of interest. The form is required for nonconstruction contracts awarded by Housing Agencies (HAs).  The form is used by bidders/offerors to certify to the HA's Contracting Officer for contract compliance.  If the fo</w:t>
      </w:r>
      <w:r>
        <w:rPr>
          <w:rFonts w:ascii="Arial" w:eastAsia="Arial" w:hAnsi="Arial" w:cs="Arial"/>
          <w:sz w:val="16"/>
        </w:rPr>
        <w:t>rm were not used, HAs would be unable to enforce their contracts.  Responses to the collection of information are required to obtain a benefit or to retain a benefit.  The information requested does not lend itself to confidentiality.</w:t>
      </w:r>
    </w:p>
    <w:p w:rsidR="003E5445" w:rsidRDefault="000C2A2D">
      <w:pPr>
        <w:spacing w:after="0" w:line="259" w:lineRule="auto"/>
        <w:ind w:left="0" w:firstLine="0"/>
        <w:jc w:val="left"/>
      </w:pPr>
      <w:r>
        <w:rPr>
          <w:rFonts w:ascii="Calibri" w:eastAsia="Calibri" w:hAnsi="Calibri" w:cs="Calibri"/>
          <w:noProof/>
          <w:sz w:val="22"/>
        </w:rPr>
        <mc:AlternateContent>
          <mc:Choice Requires="wpg">
            <w:drawing>
              <wp:inline distT="0" distB="0" distL="0" distR="0">
                <wp:extent cx="7162800" cy="12192"/>
                <wp:effectExtent l="0" t="0" r="0" b="0"/>
                <wp:docPr id="2851" name="Group 2851"/>
                <wp:cNvGraphicFramePr/>
                <a:graphic xmlns:a="http://schemas.openxmlformats.org/drawingml/2006/main">
                  <a:graphicData uri="http://schemas.microsoft.com/office/word/2010/wordprocessingGroup">
                    <wpg:wgp>
                      <wpg:cNvGrpSpPr/>
                      <wpg:grpSpPr>
                        <a:xfrm>
                          <a:off x="0" y="0"/>
                          <a:ext cx="7162800" cy="12192"/>
                          <a:chOff x="0" y="0"/>
                          <a:chExt cx="7162800" cy="12192"/>
                        </a:xfrm>
                      </wpg:grpSpPr>
                      <wps:wsp>
                        <wps:cNvPr id="111" name="Shape 111"/>
                        <wps:cNvSpPr/>
                        <wps:spPr>
                          <a:xfrm>
                            <a:off x="0" y="0"/>
                            <a:ext cx="7162800" cy="0"/>
                          </a:xfrm>
                          <a:custGeom>
                            <a:avLst/>
                            <a:gdLst/>
                            <a:ahLst/>
                            <a:cxnLst/>
                            <a:rect l="0" t="0" r="0" b="0"/>
                            <a:pathLst>
                              <a:path w="7162800">
                                <a:moveTo>
                                  <a:pt x="0" y="0"/>
                                </a:moveTo>
                                <a:lnTo>
                                  <a:pt x="7162800" y="0"/>
                                </a:lnTo>
                              </a:path>
                            </a:pathLst>
                          </a:custGeom>
                          <a:ln w="12192"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851" style="width:564pt;height:0.96pt;mso-position-horizontal-relative:char;mso-position-vertical-relative:line" coordsize="71628,121">
                <v:shape id="Shape 111" style="position:absolute;width:71628;height:0;left:0;top:0;" coordsize="7162800,0" path="m0,0l7162800,0">
                  <v:stroke weight="0.96pt" endcap="flat" joinstyle="miter" miterlimit="10" on="true" color="#000000"/>
                  <v:fill on="false" color="#000000" opacity="0"/>
                </v:shape>
              </v:group>
            </w:pict>
          </mc:Fallback>
        </mc:AlternateContent>
      </w:r>
    </w:p>
    <w:p w:rsidR="003E5445" w:rsidRDefault="003E5445">
      <w:pPr>
        <w:sectPr w:rsidR="003E5445">
          <w:pgSz w:w="12240" w:h="15840"/>
          <w:pgMar w:top="478" w:right="480" w:bottom="1440" w:left="480" w:header="720" w:footer="720" w:gutter="0"/>
          <w:cols w:space="720"/>
        </w:sectPr>
      </w:pPr>
    </w:p>
    <w:p w:rsidR="003E5445" w:rsidRDefault="000C2A2D">
      <w:pPr>
        <w:pStyle w:val="Heading1"/>
        <w:ind w:left="225" w:hanging="240"/>
      </w:pPr>
      <w:r>
        <w:t xml:space="preserve">Contingent </w:t>
      </w:r>
      <w:r>
        <w:t>Fee Representation and Agreement</w:t>
      </w:r>
    </w:p>
    <w:p w:rsidR="003E5445" w:rsidRDefault="000C2A2D">
      <w:pPr>
        <w:numPr>
          <w:ilvl w:val="0"/>
          <w:numId w:val="1"/>
        </w:numPr>
      </w:pPr>
      <w:r>
        <w:t>The bidder/offeror represents and certifies as part of its bid/offer that, except for full-time bona fide employees working solely for the bidder/offeror, the bidder/offeror:</w:t>
      </w:r>
    </w:p>
    <w:p w:rsidR="003E5445" w:rsidRDefault="000C2A2D">
      <w:pPr>
        <w:numPr>
          <w:ilvl w:val="1"/>
          <w:numId w:val="1"/>
        </w:numPr>
        <w:ind w:hanging="299"/>
      </w:pPr>
      <w:r>
        <w:t>[    ] has, [   ] has not employed or retained a</w:t>
      </w:r>
      <w:r>
        <w:t>ny person or company to solicit or obtain this contract; and</w:t>
      </w:r>
    </w:p>
    <w:p w:rsidR="003E5445" w:rsidRDefault="000C2A2D">
      <w:pPr>
        <w:numPr>
          <w:ilvl w:val="1"/>
          <w:numId w:val="1"/>
        </w:numPr>
        <w:ind w:hanging="299"/>
      </w:pPr>
      <w:r>
        <w:t xml:space="preserve">[     ]  has, [    ] has not paid or agreed to pay to any person or company employed or retained to solicit or obtain this contract any commission, percentage, brokerage, or other fee contingent </w:t>
      </w:r>
      <w:r>
        <w:t>upon or resulting from the award of this contract.</w:t>
      </w:r>
    </w:p>
    <w:p w:rsidR="003E5445" w:rsidRDefault="000C2A2D">
      <w:pPr>
        <w:numPr>
          <w:ilvl w:val="0"/>
          <w:numId w:val="1"/>
        </w:numPr>
      </w:pPr>
      <w:r>
        <w:t>If the answer to either (a)(1) or (a) (2) above is affirmative,the bidder/offeror shall make an immediate and full written disclosure to the PHA Contracting Officer.</w:t>
      </w:r>
    </w:p>
    <w:p w:rsidR="003E5445" w:rsidRDefault="000C2A2D">
      <w:pPr>
        <w:numPr>
          <w:ilvl w:val="0"/>
          <w:numId w:val="1"/>
        </w:numPr>
        <w:spacing w:after="351"/>
      </w:pPr>
      <w:r>
        <w:t>Any misrepresentation by the bidder/off</w:t>
      </w:r>
      <w:r>
        <w:t>eror shall give thePHA the right to (1) terminate the resultant contract; (2) at its discretion, to deduct from contract payments the amount of any commission, percentage, brokerage, or other contingent fee; or (3) take other remedy pursuant to the contrac</w:t>
      </w:r>
      <w:r>
        <w:t>t.</w:t>
      </w:r>
    </w:p>
    <w:p w:rsidR="003E5445" w:rsidRDefault="000C2A2D">
      <w:pPr>
        <w:pStyle w:val="Heading1"/>
        <w:ind w:left="285" w:hanging="300"/>
      </w:pPr>
      <w:r>
        <w:t>Small, Minority, Women-Owned Business Concern Representation</w:t>
      </w:r>
    </w:p>
    <w:p w:rsidR="003E5445" w:rsidRDefault="000C2A2D">
      <w:pPr>
        <w:ind w:left="-5"/>
      </w:pPr>
      <w:r>
        <w:t>The bidder/offeror represents and certifies as part of its bid/ offer that it:</w:t>
      </w:r>
    </w:p>
    <w:p w:rsidR="003E5445" w:rsidRDefault="000C2A2D">
      <w:pPr>
        <w:numPr>
          <w:ilvl w:val="0"/>
          <w:numId w:val="2"/>
        </w:numPr>
        <w:ind w:hanging="300"/>
      </w:pPr>
      <w:r>
        <w:t>[    ] is, [    ] is not a small business concern.  “Small businessconcern,” as used in this provision, means a c</w:t>
      </w:r>
      <w:r>
        <w:t>oncern, including its affiliates, that is independently owned and operated, not dominant in the field of operation in which it is bidding, and qualified as a small business under the criteria and size standards in 13 CFR 121.</w:t>
      </w:r>
    </w:p>
    <w:p w:rsidR="003E5445" w:rsidRDefault="000C2A2D">
      <w:pPr>
        <w:numPr>
          <w:ilvl w:val="0"/>
          <w:numId w:val="2"/>
        </w:numPr>
        <w:ind w:hanging="300"/>
      </w:pPr>
      <w:r>
        <w:t>[    ] is, [    ] is not a wom</w:t>
      </w:r>
      <w:r>
        <w:t>en-owned small business concern.“Women-owned,” as used in this provision, means a small business that is at least 51 percent owned by a woman or women who are U.S. citizens and who also control and operate the business.</w:t>
      </w:r>
    </w:p>
    <w:p w:rsidR="003E5445" w:rsidRDefault="000C2A2D">
      <w:pPr>
        <w:numPr>
          <w:ilvl w:val="0"/>
          <w:numId w:val="2"/>
        </w:numPr>
        <w:ind w:hanging="300"/>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simplePos x="0" y="0"/>
                <wp:positionH relativeFrom="page">
                  <wp:posOffset>304800</wp:posOffset>
                </wp:positionH>
                <wp:positionV relativeFrom="page">
                  <wp:posOffset>9566148</wp:posOffset>
                </wp:positionV>
                <wp:extent cx="7162800" cy="6096"/>
                <wp:effectExtent l="0" t="0" r="0" b="0"/>
                <wp:wrapTopAndBottom/>
                <wp:docPr id="2849" name="Group 2849"/>
                <wp:cNvGraphicFramePr/>
                <a:graphic xmlns:a="http://schemas.openxmlformats.org/drawingml/2006/main">
                  <a:graphicData uri="http://schemas.microsoft.com/office/word/2010/wordprocessingGroup">
                    <wpg:wgp>
                      <wpg:cNvGrpSpPr/>
                      <wpg:grpSpPr>
                        <a:xfrm>
                          <a:off x="0" y="0"/>
                          <a:ext cx="7162800" cy="6096"/>
                          <a:chOff x="0" y="0"/>
                          <a:chExt cx="7162800" cy="6096"/>
                        </a:xfrm>
                      </wpg:grpSpPr>
                      <wps:wsp>
                        <wps:cNvPr id="6" name="Shape 6"/>
                        <wps:cNvSpPr/>
                        <wps:spPr>
                          <a:xfrm>
                            <a:off x="0" y="0"/>
                            <a:ext cx="7162800" cy="0"/>
                          </a:xfrm>
                          <a:custGeom>
                            <a:avLst/>
                            <a:gdLst/>
                            <a:ahLst/>
                            <a:cxnLst/>
                            <a:rect l="0" t="0" r="0" b="0"/>
                            <a:pathLst>
                              <a:path w="7162800">
                                <a:moveTo>
                                  <a:pt x="0" y="0"/>
                                </a:moveTo>
                                <a:lnTo>
                                  <a:pt x="7162800" y="0"/>
                                </a:lnTo>
                              </a:path>
                            </a:pathLst>
                          </a:custGeom>
                          <a:ln w="6096"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849" style="width:564pt;height:0.48pt;position:absolute;mso-position-horizontal-relative:page;mso-position-horizontal:absolute;margin-left:24pt;mso-position-vertical-relative:page;margin-top:753.24pt;" coordsize="71628,60">
                <v:shape id="Shape 6" style="position:absolute;width:71628;height:0;left:0;top:0;" coordsize="7162800,0" path="m0,0l7162800,0">
                  <v:stroke weight="0.48pt" endcap="flat" joinstyle="miter" miterlimit="10" on="true" color="#000000"/>
                  <v:fill on="false" color="#000000" opacity="0"/>
                </v:shape>
                <w10:wrap type="topAndBottom"/>
              </v:group>
            </w:pict>
          </mc:Fallback>
        </mc:AlternateContent>
      </w:r>
      <w:r>
        <w:t>[    ] is, [    ] is not a minority</w:t>
      </w:r>
      <w:r>
        <w:t xml:space="preserve"> enterprise which, pursuant toExecutive Order 11625, is defined as a business which is at least 51 percent owned by one or more minority group members or, in the case of a publicly owned business, at least 51 percent </w:t>
      </w:r>
      <w:r>
        <w:t xml:space="preserve">of its voting stock is owned by one or </w:t>
      </w:r>
      <w:r>
        <w:t>more minority group members, and whose management and daily operations are controlled by one or more such individuals.</w:t>
      </w:r>
    </w:p>
    <w:p w:rsidR="003E5445" w:rsidRDefault="000C2A2D">
      <w:pPr>
        <w:ind w:left="310"/>
      </w:pPr>
      <w:r>
        <w:t>For the purpose of this definition, minority group members are:</w:t>
      </w:r>
    </w:p>
    <w:p w:rsidR="003E5445" w:rsidRDefault="000C2A2D">
      <w:pPr>
        <w:ind w:left="-5"/>
      </w:pPr>
      <w:r>
        <w:t>(Check the block applicable to you)</w:t>
      </w:r>
    </w:p>
    <w:p w:rsidR="003E5445" w:rsidRDefault="000C2A2D">
      <w:pPr>
        <w:tabs>
          <w:tab w:val="center" w:pos="3803"/>
        </w:tabs>
        <w:spacing w:after="78"/>
        <w:ind w:left="-15" w:firstLine="0"/>
        <w:jc w:val="left"/>
      </w:pPr>
      <w:r>
        <w:t>[   ]  Black Americans</w:t>
      </w:r>
      <w:r>
        <w:tab/>
        <w:t>[   ]  Asian Pacific Americans</w:t>
      </w:r>
    </w:p>
    <w:p w:rsidR="003E5445" w:rsidRDefault="000C2A2D">
      <w:pPr>
        <w:tabs>
          <w:tab w:val="center" w:pos="3776"/>
        </w:tabs>
        <w:spacing w:after="78"/>
        <w:ind w:left="-15" w:firstLine="0"/>
        <w:jc w:val="left"/>
      </w:pPr>
      <w:r>
        <w:t>[   ]  Hispanic Americans</w:t>
      </w:r>
      <w:r>
        <w:tab/>
        <w:t>[   ]  Asian Indian Americans</w:t>
      </w:r>
    </w:p>
    <w:p w:rsidR="003E5445" w:rsidRDefault="000C2A2D">
      <w:pPr>
        <w:tabs>
          <w:tab w:val="center" w:pos="3869"/>
        </w:tabs>
        <w:spacing w:after="354"/>
        <w:ind w:left="-15" w:firstLine="0"/>
        <w:jc w:val="left"/>
      </w:pPr>
      <w:r>
        <w:t>[   ]  Native Americans</w:t>
      </w:r>
      <w:r>
        <w:tab/>
        <w:t>[   ]  Hasidic Jewish Americans</w:t>
      </w:r>
    </w:p>
    <w:p w:rsidR="003E5445" w:rsidRDefault="000C2A2D">
      <w:pPr>
        <w:pStyle w:val="Heading1"/>
        <w:ind w:left="225" w:hanging="240"/>
      </w:pPr>
      <w:r>
        <w:t>Certificate of Independent Price Determination</w:t>
      </w:r>
    </w:p>
    <w:p w:rsidR="003E5445" w:rsidRDefault="000C2A2D">
      <w:pPr>
        <w:numPr>
          <w:ilvl w:val="0"/>
          <w:numId w:val="3"/>
        </w:numPr>
        <w:ind w:hanging="300"/>
      </w:pPr>
      <w:r>
        <w:t>The bidder/offeror certifies that—</w:t>
      </w:r>
    </w:p>
    <w:p w:rsidR="003E5445" w:rsidRDefault="000C2A2D">
      <w:pPr>
        <w:numPr>
          <w:ilvl w:val="1"/>
          <w:numId w:val="3"/>
        </w:numPr>
        <w:ind w:hanging="300"/>
      </w:pPr>
      <w:r>
        <w:t>The pric</w:t>
      </w:r>
      <w:r>
        <w:t>es in this bid/offer have been arrived at independently, without, for the purpose of restricting competition, any consultation, communication, or agreement with any other bidder/offeror or competitor relating to (i) those prices, (ii) the intention to subm</w:t>
      </w:r>
      <w:r>
        <w:t>it a bid/offer, or (iii) the methods or factors used to calculate the prices offered;</w:t>
      </w:r>
    </w:p>
    <w:p w:rsidR="003E5445" w:rsidRDefault="000C2A2D">
      <w:pPr>
        <w:numPr>
          <w:ilvl w:val="1"/>
          <w:numId w:val="3"/>
        </w:numPr>
        <w:ind w:hanging="300"/>
      </w:pPr>
      <w:r>
        <w:t>The prices in this bid/offer have not been and will not be knowingly disclosed by the bidder/offeror, directly or indirectly, to any other bidder/offeror or competitor be</w:t>
      </w:r>
      <w:r>
        <w:t>fore bid opening (in the case of a sealed bid solicitation) or contract award (in the case of a negotiated solicitation) unless otherwise required by law; and</w:t>
      </w:r>
    </w:p>
    <w:p w:rsidR="003E5445" w:rsidRDefault="000C2A2D">
      <w:pPr>
        <w:numPr>
          <w:ilvl w:val="1"/>
          <w:numId w:val="3"/>
        </w:numPr>
        <w:ind w:hanging="300"/>
      </w:pPr>
      <w:r>
        <w:t>No attempt has been made or will be made by the bidder/ offeror to induce any other concern to su</w:t>
      </w:r>
      <w:r>
        <w:t>bmit or not to submit a bid/offer for the purpose of restricting competition.</w:t>
      </w:r>
    </w:p>
    <w:p w:rsidR="003E5445" w:rsidRDefault="000C2A2D">
      <w:pPr>
        <w:numPr>
          <w:ilvl w:val="0"/>
          <w:numId w:val="3"/>
        </w:numPr>
        <w:ind w:hanging="300"/>
      </w:pPr>
      <w:r>
        <w:t>Each signature on the bid/offer is considered to be a certification by the signatory that the signatory:</w:t>
      </w:r>
    </w:p>
    <w:p w:rsidR="003E5445" w:rsidRDefault="000C2A2D">
      <w:pPr>
        <w:numPr>
          <w:ilvl w:val="1"/>
          <w:numId w:val="3"/>
        </w:numPr>
        <w:ind w:hanging="300"/>
      </w:pPr>
      <w:r>
        <w:t>Is the person in the bidder/offeror’s organization responsible for determ</w:t>
      </w:r>
      <w:r>
        <w:t>ining the prices being offered in this bid or proposal, and that the signatory has not participated and will not participate in any action contrary to subparagraphs (a)(l) through (a)(3) above; or</w:t>
      </w:r>
    </w:p>
    <w:p w:rsidR="003E5445" w:rsidRDefault="000C2A2D">
      <w:pPr>
        <w:numPr>
          <w:ilvl w:val="1"/>
          <w:numId w:val="3"/>
        </w:numPr>
        <w:ind w:hanging="300"/>
      </w:pPr>
      <w:r>
        <w:t>(i)  Has been authorized, in writing, to act as agent for t</w:t>
      </w:r>
      <w:r>
        <w:t xml:space="preserve">he following principals in certifying that those principals have not participated, and will not participate in any action </w:t>
      </w:r>
      <w:r>
        <w:lastRenderedPageBreak/>
        <w:t xml:space="preserve">contrary to subparagraphs (a)(l) through (a)(3) above (insert full name of person(s) in the bidder/offeror’s organization responsible </w:t>
      </w:r>
      <w:r>
        <w:t>for determining the prices offered in this bid or proposal, and the title of his or her position in the bidder/offeror’s organization);</w:t>
      </w:r>
    </w:p>
    <w:p w:rsidR="003E5445" w:rsidRDefault="000C2A2D">
      <w:pPr>
        <w:numPr>
          <w:ilvl w:val="2"/>
          <w:numId w:val="3"/>
        </w:numPr>
        <w:spacing w:after="353"/>
      </w:pPr>
      <w:r>
        <w:t>As an authorized agent, does certify that the principals named in subdivision (b)(2)(i) above have not participated, and</w:t>
      </w:r>
      <w:r>
        <w:t xml:space="preserve"> will not participate, in any action contrary to subparagraphs (a)(l) through (a)(3) above; and</w:t>
      </w:r>
    </w:p>
    <w:tbl>
      <w:tblPr>
        <w:tblStyle w:val="TableGrid"/>
        <w:tblpPr w:vertAnchor="text" w:horzAnchor="margin" w:tblpY="88"/>
        <w:tblOverlap w:val="never"/>
        <w:tblW w:w="11281" w:type="dxa"/>
        <w:tblInd w:w="0" w:type="dxa"/>
        <w:tblCellMar>
          <w:top w:w="51" w:type="dxa"/>
          <w:left w:w="0" w:type="dxa"/>
          <w:bottom w:w="0" w:type="dxa"/>
          <w:right w:w="1" w:type="dxa"/>
        </w:tblCellMar>
        <w:tblLook w:val="04A0" w:firstRow="1" w:lastRow="0" w:firstColumn="1" w:lastColumn="0" w:noHBand="0" w:noVBand="1"/>
      </w:tblPr>
      <w:tblGrid>
        <w:gridCol w:w="11281"/>
      </w:tblGrid>
      <w:tr w:rsidR="003E5445">
        <w:trPr>
          <w:trHeight w:val="240"/>
        </w:trPr>
        <w:tc>
          <w:tcPr>
            <w:tcW w:w="11280" w:type="dxa"/>
            <w:tcBorders>
              <w:top w:val="nil"/>
              <w:left w:val="nil"/>
              <w:bottom w:val="nil"/>
              <w:right w:val="nil"/>
            </w:tcBorders>
          </w:tcPr>
          <w:p w:rsidR="003E5445" w:rsidRDefault="000C2A2D">
            <w:pPr>
              <w:tabs>
                <w:tab w:val="center" w:pos="5752"/>
                <w:tab w:val="right" w:pos="11280"/>
              </w:tabs>
              <w:spacing w:after="0" w:line="259" w:lineRule="auto"/>
              <w:ind w:left="0" w:firstLine="0"/>
              <w:jc w:val="left"/>
            </w:pPr>
            <w:r>
              <w:rPr>
                <w:rFonts w:ascii="Arial" w:eastAsia="Arial" w:hAnsi="Arial" w:cs="Arial"/>
                <w:sz w:val="16"/>
              </w:rPr>
              <w:t>Previous edition is obsolete</w:t>
            </w:r>
            <w:r>
              <w:rPr>
                <w:rFonts w:ascii="Arial" w:eastAsia="Arial" w:hAnsi="Arial" w:cs="Arial"/>
                <w:sz w:val="16"/>
              </w:rPr>
              <w:tab/>
              <w:t>page 1 of 2</w:t>
            </w:r>
            <w:r>
              <w:rPr>
                <w:rFonts w:ascii="Arial" w:eastAsia="Arial" w:hAnsi="Arial" w:cs="Arial"/>
                <w:sz w:val="16"/>
              </w:rPr>
              <w:tab/>
              <w:t>ref. Handbook 7460.8</w:t>
            </w:r>
          </w:p>
        </w:tc>
      </w:tr>
    </w:tbl>
    <w:p w:rsidR="003E5445" w:rsidRDefault="000C2A2D">
      <w:pPr>
        <w:spacing w:before="51" w:after="181" w:line="259" w:lineRule="auto"/>
        <w:ind w:right="-13"/>
        <w:jc w:val="right"/>
      </w:pPr>
      <w:r>
        <w:rPr>
          <w:rFonts w:ascii="Arial" w:eastAsia="Arial" w:hAnsi="Arial" w:cs="Arial"/>
          <w:sz w:val="16"/>
        </w:rPr>
        <w:t xml:space="preserve">form </w:t>
      </w:r>
      <w:r>
        <w:rPr>
          <w:rFonts w:ascii="Arial" w:eastAsia="Arial" w:hAnsi="Arial" w:cs="Arial"/>
          <w:b/>
          <w:sz w:val="16"/>
        </w:rPr>
        <w:t xml:space="preserve">HUD-5369-C </w:t>
      </w:r>
      <w:r>
        <w:rPr>
          <w:rFonts w:ascii="Arial" w:eastAsia="Arial" w:hAnsi="Arial" w:cs="Arial"/>
          <w:sz w:val="16"/>
        </w:rPr>
        <w:t>(8/93)</w:t>
      </w:r>
    </w:p>
    <w:p w:rsidR="003E5445" w:rsidRDefault="000C2A2D">
      <w:pPr>
        <w:numPr>
          <w:ilvl w:val="2"/>
          <w:numId w:val="3"/>
        </w:numPr>
      </w:pPr>
      <w:r>
        <w:t>As an agent, has not personally participated, and willnot participate in any action contrary to subparagraphs (a)(l) through (a)(3) above.</w:t>
      </w:r>
    </w:p>
    <w:p w:rsidR="003E5445" w:rsidRDefault="000C2A2D">
      <w:pPr>
        <w:numPr>
          <w:ilvl w:val="0"/>
          <w:numId w:val="3"/>
        </w:numPr>
        <w:spacing w:after="351"/>
        <w:ind w:hanging="300"/>
      </w:pPr>
      <w:r>
        <w:t>If the bidder/offeror deletes or modifies subparagraph (a)2 above, the bidder/offeror must furnish with its bid/offer</w:t>
      </w:r>
      <w:r>
        <w:t xml:space="preserve"> a signed statement setting forth in detail the circumstances of the disclosure.</w:t>
      </w:r>
    </w:p>
    <w:p w:rsidR="003E5445" w:rsidRDefault="000C2A2D">
      <w:pPr>
        <w:pStyle w:val="Heading1"/>
        <w:ind w:left="225" w:hanging="240"/>
      </w:pPr>
      <w:r>
        <w:t>Organizational Conflicts of Interest Certification</w:t>
      </w:r>
    </w:p>
    <w:p w:rsidR="003E5445" w:rsidRDefault="000C2A2D">
      <w:pPr>
        <w:numPr>
          <w:ilvl w:val="0"/>
          <w:numId w:val="4"/>
        </w:numPr>
        <w:ind w:hanging="300"/>
      </w:pPr>
      <w:r>
        <w:t xml:space="preserve">The Contractor warrants that to the best of its knowledge andbelief and except as otherwise disclosed, it does not have any </w:t>
      </w:r>
      <w:r>
        <w:t>organizational conflict of interest which is defined as a</w:t>
      </w:r>
    </w:p>
    <w:p w:rsidR="003E5445" w:rsidRDefault="000C2A2D">
      <w:pPr>
        <w:ind w:left="285" w:hanging="300"/>
      </w:pPr>
      <w:r>
        <w:t>situation in which the nature of work under a proposed contract and a prospective contractor’s organizational, financial, contractual or other interest are such that:</w:t>
      </w:r>
    </w:p>
    <w:p w:rsidR="003E5445" w:rsidRDefault="000C2A2D">
      <w:pPr>
        <w:numPr>
          <w:ilvl w:val="1"/>
          <w:numId w:val="4"/>
        </w:numPr>
      </w:pPr>
      <w:r>
        <w:rPr>
          <w:rFonts w:ascii="Calibri" w:eastAsia="Calibri" w:hAnsi="Calibri" w:cs="Calibri"/>
          <w:noProof/>
          <w:sz w:val="22"/>
        </w:rPr>
        <mc:AlternateContent>
          <mc:Choice Requires="wpg">
            <w:drawing>
              <wp:anchor distT="0" distB="0" distL="114300" distR="114300" simplePos="0" relativeHeight="251659264" behindDoc="0" locked="0" layoutInCell="1" allowOverlap="1">
                <wp:simplePos x="0" y="0"/>
                <wp:positionH relativeFrom="margin">
                  <wp:posOffset>3733801</wp:posOffset>
                </wp:positionH>
                <wp:positionV relativeFrom="paragraph">
                  <wp:posOffset>36958</wp:posOffset>
                </wp:positionV>
                <wp:extent cx="3429000" cy="3048"/>
                <wp:effectExtent l="0" t="0" r="0" b="0"/>
                <wp:wrapTopAndBottom/>
                <wp:docPr id="3189" name="Group 3189"/>
                <wp:cNvGraphicFramePr/>
                <a:graphic xmlns:a="http://schemas.openxmlformats.org/drawingml/2006/main">
                  <a:graphicData uri="http://schemas.microsoft.com/office/word/2010/wordprocessingGroup">
                    <wpg:wgp>
                      <wpg:cNvGrpSpPr/>
                      <wpg:grpSpPr>
                        <a:xfrm>
                          <a:off x="0" y="0"/>
                          <a:ext cx="3429000" cy="3048"/>
                          <a:chOff x="0" y="0"/>
                          <a:chExt cx="3429000" cy="3048"/>
                        </a:xfrm>
                      </wpg:grpSpPr>
                      <wps:wsp>
                        <wps:cNvPr id="235" name="Shape 235"/>
                        <wps:cNvSpPr/>
                        <wps:spPr>
                          <a:xfrm>
                            <a:off x="0" y="0"/>
                            <a:ext cx="3429000" cy="0"/>
                          </a:xfrm>
                          <a:custGeom>
                            <a:avLst/>
                            <a:gdLst/>
                            <a:ahLst/>
                            <a:cxnLst/>
                            <a:rect l="0" t="0" r="0" b="0"/>
                            <a:pathLst>
                              <a:path w="3429000">
                                <a:moveTo>
                                  <a:pt x="0" y="0"/>
                                </a:moveTo>
                                <a:lnTo>
                                  <a:pt x="3429000" y="0"/>
                                </a:lnTo>
                              </a:path>
                            </a:pathLst>
                          </a:custGeom>
                          <a:ln w="3048"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3189" style="width:270pt;height:0.24pt;position:absolute;mso-position-horizontal-relative:margin;mso-position-horizontal:absolute;margin-left:294pt;mso-position-vertical-relative:text;margin-top:2.91011pt;" coordsize="34290,30">
                <v:shape id="Shape 235" style="position:absolute;width:34290;height:0;left:0;top:0;" coordsize="3429000,0" path="m0,0l3429000,0">
                  <v:stroke weight="0.24pt" endcap="flat" joinstyle="miter" miterlimit="10" on="true" color="#000000"/>
                  <v:fill on="false" color="#000000" opacity="0"/>
                </v:shape>
                <w10:wrap type="topAndBottom"/>
              </v:group>
            </w:pict>
          </mc:Fallback>
        </mc:AlternateContent>
      </w:r>
      <w:r>
        <w:t>Award of the contract may resu</w:t>
      </w:r>
      <w:r>
        <w:t>lt in an unfair competitive advantage;</w:t>
      </w:r>
    </w:p>
    <w:p w:rsidR="003E5445" w:rsidRDefault="000C2A2D">
      <w:pPr>
        <w:numPr>
          <w:ilvl w:val="1"/>
          <w:numId w:val="4"/>
        </w:numPr>
      </w:pPr>
      <w:r>
        <w:t>The Contractor’s objectivity in performing the contract work may be impaired; or</w:t>
      </w:r>
    </w:p>
    <w:p w:rsidR="003E5445" w:rsidRDefault="000C2A2D">
      <w:pPr>
        <w:numPr>
          <w:ilvl w:val="1"/>
          <w:numId w:val="4"/>
        </w:numPr>
      </w:pPr>
      <w:r>
        <w:rPr>
          <w:rFonts w:ascii="Calibri" w:eastAsia="Calibri" w:hAnsi="Calibri" w:cs="Calibri"/>
          <w:noProof/>
          <w:sz w:val="22"/>
        </w:rPr>
        <mc:AlternateContent>
          <mc:Choice Requires="wpg">
            <w:drawing>
              <wp:anchor distT="0" distB="0" distL="114300" distR="114300" simplePos="0" relativeHeight="251660288" behindDoc="0" locked="0" layoutInCell="1" allowOverlap="1">
                <wp:simplePos x="0" y="0"/>
                <wp:positionH relativeFrom="margin">
                  <wp:posOffset>3733801</wp:posOffset>
                </wp:positionH>
                <wp:positionV relativeFrom="paragraph">
                  <wp:posOffset>315850</wp:posOffset>
                </wp:positionV>
                <wp:extent cx="3429000" cy="3048"/>
                <wp:effectExtent l="0" t="0" r="0" b="0"/>
                <wp:wrapTopAndBottom/>
                <wp:docPr id="3190" name="Group 3190"/>
                <wp:cNvGraphicFramePr/>
                <a:graphic xmlns:a="http://schemas.openxmlformats.org/drawingml/2006/main">
                  <a:graphicData uri="http://schemas.microsoft.com/office/word/2010/wordprocessingGroup">
                    <wpg:wgp>
                      <wpg:cNvGrpSpPr/>
                      <wpg:grpSpPr>
                        <a:xfrm>
                          <a:off x="0" y="0"/>
                          <a:ext cx="3429000" cy="3048"/>
                          <a:chOff x="0" y="0"/>
                          <a:chExt cx="3429000" cy="3048"/>
                        </a:xfrm>
                      </wpg:grpSpPr>
                      <wps:wsp>
                        <wps:cNvPr id="237" name="Shape 237"/>
                        <wps:cNvSpPr/>
                        <wps:spPr>
                          <a:xfrm>
                            <a:off x="0" y="0"/>
                            <a:ext cx="3429000" cy="0"/>
                          </a:xfrm>
                          <a:custGeom>
                            <a:avLst/>
                            <a:gdLst/>
                            <a:ahLst/>
                            <a:cxnLst/>
                            <a:rect l="0" t="0" r="0" b="0"/>
                            <a:pathLst>
                              <a:path w="3429000">
                                <a:moveTo>
                                  <a:pt x="0" y="0"/>
                                </a:moveTo>
                                <a:lnTo>
                                  <a:pt x="3429000" y="0"/>
                                </a:lnTo>
                              </a:path>
                            </a:pathLst>
                          </a:custGeom>
                          <a:ln w="3048"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3190" style="width:270pt;height:0.24pt;position:absolute;mso-position-horizontal-relative:margin;mso-position-horizontal:absolute;margin-left:294pt;mso-position-vertical-relative:text;margin-top:24.8701pt;" coordsize="34290,30">
                <v:shape id="Shape 237" style="position:absolute;width:34290;height:0;left:0;top:0;" coordsize="3429000,0" path="m0,0l3429000,0">
                  <v:stroke weight="0.24pt" endcap="flat" joinstyle="miter" miterlimit="10" on="true" color="#000000"/>
                  <v:fill on="false" color="#000000" opacity="0"/>
                </v:shape>
                <w10:wrap type="topAndBottom"/>
              </v:group>
            </w:pict>
          </mc:Fallback>
        </mc:AlternateContent>
      </w:r>
      <w:r>
        <w:t>That the Contractor has disclosed all relevant information and requested the HA to make a determination with respect to this Contract.</w:t>
      </w:r>
    </w:p>
    <w:p w:rsidR="003E5445" w:rsidRDefault="000C2A2D">
      <w:pPr>
        <w:numPr>
          <w:ilvl w:val="0"/>
          <w:numId w:val="4"/>
        </w:numPr>
        <w:ind w:hanging="300"/>
      </w:pPr>
      <w:r>
        <w:rPr>
          <w:rFonts w:ascii="Calibri" w:eastAsia="Calibri" w:hAnsi="Calibri" w:cs="Calibri"/>
          <w:noProof/>
          <w:sz w:val="22"/>
        </w:rPr>
        <mc:AlternateContent>
          <mc:Choice Requires="wpg">
            <w:drawing>
              <wp:anchor distT="0" distB="0" distL="114300" distR="114300" simplePos="0" relativeHeight="251661312" behindDoc="0" locked="0" layoutInCell="1" allowOverlap="1">
                <wp:simplePos x="0" y="0"/>
                <wp:positionH relativeFrom="margin">
                  <wp:posOffset>3733801</wp:posOffset>
                </wp:positionH>
                <wp:positionV relativeFrom="paragraph">
                  <wp:posOffset>379858</wp:posOffset>
                </wp:positionV>
                <wp:extent cx="3429000" cy="3048"/>
                <wp:effectExtent l="0" t="0" r="0" b="0"/>
                <wp:wrapTopAndBottom/>
                <wp:docPr id="3191" name="Group 3191"/>
                <wp:cNvGraphicFramePr/>
                <a:graphic xmlns:a="http://schemas.openxmlformats.org/drawingml/2006/main">
                  <a:graphicData uri="http://schemas.microsoft.com/office/word/2010/wordprocessingGroup">
                    <wpg:wgp>
                      <wpg:cNvGrpSpPr/>
                      <wpg:grpSpPr>
                        <a:xfrm>
                          <a:off x="0" y="0"/>
                          <a:ext cx="3429000" cy="3048"/>
                          <a:chOff x="0" y="0"/>
                          <a:chExt cx="3429000" cy="3048"/>
                        </a:xfrm>
                      </wpg:grpSpPr>
                      <wps:wsp>
                        <wps:cNvPr id="239" name="Shape 239"/>
                        <wps:cNvSpPr/>
                        <wps:spPr>
                          <a:xfrm>
                            <a:off x="0" y="0"/>
                            <a:ext cx="3429000" cy="0"/>
                          </a:xfrm>
                          <a:custGeom>
                            <a:avLst/>
                            <a:gdLst/>
                            <a:ahLst/>
                            <a:cxnLst/>
                            <a:rect l="0" t="0" r="0" b="0"/>
                            <a:pathLst>
                              <a:path w="3429000">
                                <a:moveTo>
                                  <a:pt x="0" y="0"/>
                                </a:moveTo>
                                <a:lnTo>
                                  <a:pt x="3429000" y="0"/>
                                </a:lnTo>
                              </a:path>
                            </a:pathLst>
                          </a:custGeom>
                          <a:ln w="3048"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3191" style="width:270pt;height:0.24pt;position:absolute;mso-position-horizontal-relative:margin;mso-position-horizontal:absolute;margin-left:294pt;mso-position-vertical-relative:text;margin-top:29.9101pt;" coordsize="34290,30">
                <v:shape id="Shape 239" style="position:absolute;width:34290;height:0;left:0;top:0;" coordsize="3429000,0" path="m0,0l3429000,0">
                  <v:stroke weight="0.24pt" endcap="flat" joinstyle="miter" miterlimit="10" on="true" color="#000000"/>
                  <v:fill on="false" color="#000000" opacity="0"/>
                </v:shape>
                <w10:wrap type="topAndBottom"/>
              </v:group>
            </w:pict>
          </mc:Fallback>
        </mc:AlternateContent>
      </w:r>
      <w:r>
        <w:rPr>
          <w:rFonts w:ascii="Calibri" w:eastAsia="Calibri" w:hAnsi="Calibri" w:cs="Calibri"/>
          <w:noProof/>
          <w:sz w:val="22"/>
        </w:rPr>
        <mc:AlternateContent>
          <mc:Choice Requires="wpg">
            <w:drawing>
              <wp:anchor distT="0" distB="0" distL="114300" distR="114300" simplePos="0" relativeHeight="251662336" behindDoc="0" locked="0" layoutInCell="1" allowOverlap="1">
                <wp:simplePos x="0" y="0"/>
                <wp:positionH relativeFrom="margin">
                  <wp:posOffset>3733801</wp:posOffset>
                </wp:positionH>
                <wp:positionV relativeFrom="paragraph">
                  <wp:posOffset>937642</wp:posOffset>
                </wp:positionV>
                <wp:extent cx="3429000" cy="3048"/>
                <wp:effectExtent l="0" t="0" r="0" b="0"/>
                <wp:wrapTopAndBottom/>
                <wp:docPr id="3192" name="Group 3192"/>
                <wp:cNvGraphicFramePr/>
                <a:graphic xmlns:a="http://schemas.openxmlformats.org/drawingml/2006/main">
                  <a:graphicData uri="http://schemas.microsoft.com/office/word/2010/wordprocessingGroup">
                    <wpg:wgp>
                      <wpg:cNvGrpSpPr/>
                      <wpg:grpSpPr>
                        <a:xfrm>
                          <a:off x="0" y="0"/>
                          <a:ext cx="3429000" cy="3048"/>
                          <a:chOff x="0" y="0"/>
                          <a:chExt cx="3429000" cy="3048"/>
                        </a:xfrm>
                      </wpg:grpSpPr>
                      <wps:wsp>
                        <wps:cNvPr id="241" name="Shape 241"/>
                        <wps:cNvSpPr/>
                        <wps:spPr>
                          <a:xfrm>
                            <a:off x="0" y="0"/>
                            <a:ext cx="3429000" cy="0"/>
                          </a:xfrm>
                          <a:custGeom>
                            <a:avLst/>
                            <a:gdLst/>
                            <a:ahLst/>
                            <a:cxnLst/>
                            <a:rect l="0" t="0" r="0" b="0"/>
                            <a:pathLst>
                              <a:path w="3429000">
                                <a:moveTo>
                                  <a:pt x="0" y="0"/>
                                </a:moveTo>
                                <a:lnTo>
                                  <a:pt x="3429000" y="0"/>
                                </a:lnTo>
                              </a:path>
                            </a:pathLst>
                          </a:custGeom>
                          <a:ln w="3048"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3192" style="width:270pt;height:0.24pt;position:absolute;mso-position-horizontal-relative:margin;mso-position-horizontal:absolute;margin-left:294pt;mso-position-vertical-relative:text;margin-top:73.8301pt;" coordsize="34290,30">
                <v:shape id="Shape 241" style="position:absolute;width:34290;height:0;left:0;top:0;" coordsize="3429000,0" path="m0,0l3429000,0">
                  <v:stroke weight="0.24pt" endcap="flat" joinstyle="miter" miterlimit="10" on="true" color="#000000"/>
                  <v:fill on="false" color="#000000" opacity="0"/>
                </v:shape>
                <w10:wrap type="topAndBottom"/>
              </v:group>
            </w:pict>
          </mc:Fallback>
        </mc:AlternateContent>
      </w:r>
      <w:r>
        <w:t xml:space="preserve">The Contractor agrees that if after award he or she discoversan organizational conflict of interest with respect to this contract, he or she shall make an immediate and full disclosure in writing to the HA which shall include a description of the action </w:t>
      </w:r>
      <w:r>
        <w:t>which the Contractor has taken or intends to eliminate or neutralize the conflict.  The HA may, however, terminate the Contract for the convenience of HA if it would be in the best interest of HA.</w:t>
      </w:r>
    </w:p>
    <w:p w:rsidR="003E5445" w:rsidRDefault="000C2A2D">
      <w:pPr>
        <w:numPr>
          <w:ilvl w:val="0"/>
          <w:numId w:val="4"/>
        </w:numPr>
        <w:ind w:hanging="300"/>
      </w:pPr>
      <w:r>
        <w:t>In the event the Contractor was aware of an organizationalc</w:t>
      </w:r>
      <w:r>
        <w:t>onflict of interest before the award of this Contract and intentionally did not disclose the conflict to the HA, the HA may terminate the Contract for default.</w:t>
      </w:r>
    </w:p>
    <w:p w:rsidR="003E5445" w:rsidRDefault="000C2A2D">
      <w:pPr>
        <w:numPr>
          <w:ilvl w:val="0"/>
          <w:numId w:val="4"/>
        </w:numPr>
        <w:spacing w:after="351"/>
        <w:ind w:hanging="300"/>
      </w:pPr>
      <w:r>
        <w:t>The Contractor shall require a disclosure or representationfrom subcontractors and consultants w</w:t>
      </w:r>
      <w:r>
        <w:t>ho may be in a position to influence the advice or assistance rendered to the HA and shall include any necessary provisions to eliminate or neutralize conflicts of interest in consultant agreements or subcontracts involving performance or work under this C</w:t>
      </w:r>
      <w:r>
        <w:t>ontract.</w:t>
      </w:r>
    </w:p>
    <w:p w:rsidR="003E5445" w:rsidRDefault="000C2A2D">
      <w:pPr>
        <w:pStyle w:val="Heading1"/>
        <w:ind w:left="225" w:hanging="240"/>
      </w:pPr>
      <w:r>
        <w:t>Authorized Negotiators (RFPs only)</w:t>
      </w:r>
    </w:p>
    <w:p w:rsidR="003E5445" w:rsidRDefault="000C2A2D">
      <w:pPr>
        <w:ind w:left="-5"/>
      </w:pPr>
      <w:r>
        <w:rPr>
          <w:rFonts w:ascii="Calibri" w:eastAsia="Calibri" w:hAnsi="Calibri" w:cs="Calibri"/>
          <w:noProof/>
          <w:sz w:val="22"/>
        </w:rPr>
        <mc:AlternateContent>
          <mc:Choice Requires="wpg">
            <w:drawing>
              <wp:anchor distT="0" distB="0" distL="114300" distR="114300" simplePos="0" relativeHeight="251663360" behindDoc="0" locked="0" layoutInCell="1" allowOverlap="1">
                <wp:simplePos x="0" y="0"/>
                <wp:positionH relativeFrom="margin">
                  <wp:posOffset>1</wp:posOffset>
                </wp:positionH>
                <wp:positionV relativeFrom="paragraph">
                  <wp:posOffset>2199514</wp:posOffset>
                </wp:positionV>
                <wp:extent cx="7162800" cy="6096"/>
                <wp:effectExtent l="0" t="0" r="0" b="0"/>
                <wp:wrapTopAndBottom/>
                <wp:docPr id="3187" name="Group 3187"/>
                <wp:cNvGraphicFramePr/>
                <a:graphic xmlns:a="http://schemas.openxmlformats.org/drawingml/2006/main">
                  <a:graphicData uri="http://schemas.microsoft.com/office/word/2010/wordprocessingGroup">
                    <wpg:wgp>
                      <wpg:cNvGrpSpPr/>
                      <wpg:grpSpPr>
                        <a:xfrm>
                          <a:off x="0" y="0"/>
                          <a:ext cx="7162800" cy="6096"/>
                          <a:chOff x="0" y="0"/>
                          <a:chExt cx="7162800" cy="6096"/>
                        </a:xfrm>
                      </wpg:grpSpPr>
                      <wps:wsp>
                        <wps:cNvPr id="172" name="Shape 172"/>
                        <wps:cNvSpPr/>
                        <wps:spPr>
                          <a:xfrm>
                            <a:off x="0" y="0"/>
                            <a:ext cx="7162800" cy="0"/>
                          </a:xfrm>
                          <a:custGeom>
                            <a:avLst/>
                            <a:gdLst/>
                            <a:ahLst/>
                            <a:cxnLst/>
                            <a:rect l="0" t="0" r="0" b="0"/>
                            <a:pathLst>
                              <a:path w="7162800">
                                <a:moveTo>
                                  <a:pt x="0" y="0"/>
                                </a:moveTo>
                                <a:lnTo>
                                  <a:pt x="7162800" y="0"/>
                                </a:lnTo>
                              </a:path>
                            </a:pathLst>
                          </a:custGeom>
                          <a:ln w="6096"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3187" style="width:564pt;height:0.48pt;position:absolute;mso-position-horizontal-relative:margin;mso-position-horizontal:absolute;margin-left:6.10352e-05pt;mso-position-vertical-relative:text;margin-top:173.19pt;" coordsize="71628,60">
                <v:shape id="Shape 172" style="position:absolute;width:71628;height:0;left:0;top:0;" coordsize="7162800,0" path="m0,0l7162800,0">
                  <v:stroke weight="0.48pt" endcap="flat" joinstyle="miter" miterlimit="10" on="true" color="#000000"/>
                  <v:fill on="false" color="#000000" opacity="0"/>
                </v:shape>
                <w10:wrap type="topAndBottom"/>
              </v:group>
            </w:pict>
          </mc:Fallback>
        </mc:AlternateContent>
      </w:r>
      <w:r>
        <w:t>The offeror represents that the following persons are authorized to negotiate on its behalf with the PHA in connection with this request for proposals:  (list names, titles, and telephone numbers of the authorized negotiators):</w:t>
      </w:r>
    </w:p>
    <w:p w:rsidR="003E5445" w:rsidRDefault="000C2A2D">
      <w:pPr>
        <w:pStyle w:val="Heading1"/>
        <w:ind w:left="225" w:hanging="240"/>
      </w:pPr>
      <w:r>
        <w:t>Conflict of Interest</w:t>
      </w:r>
    </w:p>
    <w:p w:rsidR="003E5445" w:rsidRDefault="000C2A2D">
      <w:pPr>
        <w:spacing w:after="351"/>
        <w:ind w:left="-5"/>
      </w:pPr>
      <w:r>
        <w:rPr>
          <w:rFonts w:ascii="Calibri" w:eastAsia="Calibri" w:hAnsi="Calibri" w:cs="Calibri"/>
          <w:noProof/>
          <w:sz w:val="22"/>
        </w:rPr>
        <mc:AlternateContent>
          <mc:Choice Requires="wpg">
            <w:drawing>
              <wp:anchor distT="0" distB="0" distL="114300" distR="114300" simplePos="0" relativeHeight="251664384" behindDoc="0" locked="0" layoutInCell="1" allowOverlap="1">
                <wp:simplePos x="0" y="0"/>
                <wp:positionH relativeFrom="page">
                  <wp:posOffset>304800</wp:posOffset>
                </wp:positionH>
                <wp:positionV relativeFrom="page">
                  <wp:posOffset>310896</wp:posOffset>
                </wp:positionV>
                <wp:extent cx="7162800" cy="12192"/>
                <wp:effectExtent l="0" t="0" r="0" b="0"/>
                <wp:wrapTopAndBottom/>
                <wp:docPr id="3188" name="Group 3188"/>
                <wp:cNvGraphicFramePr/>
                <a:graphic xmlns:a="http://schemas.openxmlformats.org/drawingml/2006/main">
                  <a:graphicData uri="http://schemas.microsoft.com/office/word/2010/wordprocessingGroup">
                    <wpg:wgp>
                      <wpg:cNvGrpSpPr/>
                      <wpg:grpSpPr>
                        <a:xfrm>
                          <a:off x="0" y="0"/>
                          <a:ext cx="7162800" cy="12192"/>
                          <a:chOff x="0" y="0"/>
                          <a:chExt cx="7162800" cy="12192"/>
                        </a:xfrm>
                      </wpg:grpSpPr>
                      <wps:wsp>
                        <wps:cNvPr id="179" name="Shape 179"/>
                        <wps:cNvSpPr/>
                        <wps:spPr>
                          <a:xfrm>
                            <a:off x="0" y="0"/>
                            <a:ext cx="7162800" cy="0"/>
                          </a:xfrm>
                          <a:custGeom>
                            <a:avLst/>
                            <a:gdLst/>
                            <a:ahLst/>
                            <a:cxnLst/>
                            <a:rect l="0" t="0" r="0" b="0"/>
                            <a:pathLst>
                              <a:path w="7162800">
                                <a:moveTo>
                                  <a:pt x="0" y="0"/>
                                </a:moveTo>
                                <a:lnTo>
                                  <a:pt x="7162800" y="0"/>
                                </a:lnTo>
                              </a:path>
                            </a:pathLst>
                          </a:custGeom>
                          <a:ln w="12192"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3188" style="width:564pt;height:0.96pt;position:absolute;mso-position-horizontal-relative:page;mso-position-horizontal:absolute;margin-left:24pt;mso-position-vertical-relative:page;margin-top:24.48pt;" coordsize="71628,121">
                <v:shape id="Shape 179" style="position:absolute;width:71628;height:0;left:0;top:0;" coordsize="7162800,0" path="m0,0l7162800,0">
                  <v:stroke weight="0.96pt" endcap="flat" joinstyle="miter" miterlimit="10" on="true" color="#000000"/>
                  <v:fill on="false" color="#000000" opacity="0"/>
                </v:shape>
                <w10:wrap type="topAndBottom"/>
              </v:group>
            </w:pict>
          </mc:Fallback>
        </mc:AlternateContent>
      </w:r>
      <w:r>
        <w:t>In the</w:t>
      </w:r>
      <w:r>
        <w:t xml:space="preserve"> absence of any actual or apparent conflict, the offeror, by submission of a proposal, hereby warrants that to the best of its knowledge and belief, no actual or apparent conflict of interest exists with regard to my possible performance of this procuremen</w:t>
      </w:r>
      <w:r>
        <w:t>t, as described in the clause in this solicitation titled “Organizational Conflict of Interest.”</w:t>
      </w:r>
    </w:p>
    <w:p w:rsidR="003E5445" w:rsidRDefault="000C2A2D">
      <w:pPr>
        <w:pStyle w:val="Heading1"/>
        <w:ind w:left="225" w:hanging="240"/>
      </w:pPr>
      <w:r>
        <w:t>Offeror's Signature</w:t>
      </w:r>
    </w:p>
    <w:p w:rsidR="003E5445" w:rsidRDefault="000C2A2D">
      <w:pPr>
        <w:spacing w:after="886"/>
        <w:ind w:left="-5"/>
      </w:pPr>
      <w:r>
        <w:t>The offeror hereby certifies that the information contained in these certifications and representations is accurate, complete, and current.</w:t>
      </w:r>
    </w:p>
    <w:p w:rsidR="003E5445" w:rsidRDefault="000C2A2D">
      <w:pPr>
        <w:spacing w:before="182" w:after="1154"/>
        <w:ind w:left="-5"/>
      </w:pPr>
      <w:r>
        <w:t>Signature &amp; Date:</w:t>
      </w:r>
    </w:p>
    <w:p w:rsidR="003E5445" w:rsidRDefault="000C2A2D">
      <w:pPr>
        <w:spacing w:before="182" w:after="515"/>
        <w:ind w:left="-5"/>
      </w:pPr>
      <w:r>
        <w:t>Typed or Printed Name:</w:t>
      </w:r>
    </w:p>
    <w:p w:rsidR="003E5445" w:rsidRDefault="000C2A2D">
      <w:pPr>
        <w:spacing w:before="182" w:after="513"/>
        <w:ind w:left="-5"/>
      </w:pPr>
      <w:r>
        <w:t>Title:</w:t>
      </w:r>
    </w:p>
    <w:p w:rsidR="003E5445" w:rsidRDefault="000C2A2D">
      <w:pPr>
        <w:spacing w:before="51" w:after="181" w:line="259" w:lineRule="auto"/>
        <w:ind w:right="-13"/>
        <w:jc w:val="right"/>
      </w:pPr>
      <w:r>
        <w:rPr>
          <w:rFonts w:ascii="Arial" w:eastAsia="Arial" w:hAnsi="Arial" w:cs="Arial"/>
          <w:sz w:val="16"/>
        </w:rPr>
        <w:t xml:space="preserve">form </w:t>
      </w:r>
      <w:r>
        <w:rPr>
          <w:rFonts w:ascii="Arial" w:eastAsia="Arial" w:hAnsi="Arial" w:cs="Arial"/>
          <w:b/>
          <w:sz w:val="16"/>
        </w:rPr>
        <w:t xml:space="preserve">HUD-5369-C </w:t>
      </w:r>
      <w:r>
        <w:rPr>
          <w:rFonts w:ascii="Arial" w:eastAsia="Arial" w:hAnsi="Arial" w:cs="Arial"/>
          <w:sz w:val="16"/>
        </w:rPr>
        <w:t>(8/93)</w:t>
      </w:r>
    </w:p>
    <w:p w:rsidR="003E5445" w:rsidRDefault="003E5445">
      <w:pPr>
        <w:sectPr w:rsidR="003E5445">
          <w:type w:val="continuous"/>
          <w:pgSz w:w="12240" w:h="15840"/>
          <w:pgMar w:top="741" w:right="478" w:bottom="396" w:left="480" w:header="720" w:footer="720" w:gutter="0"/>
          <w:cols w:num="2" w:space="479"/>
        </w:sectPr>
      </w:pPr>
    </w:p>
    <w:p w:rsidR="003E5445" w:rsidRDefault="000C2A2D">
      <w:pPr>
        <w:tabs>
          <w:tab w:val="center" w:pos="5752"/>
          <w:tab w:val="right" w:pos="11280"/>
        </w:tabs>
        <w:spacing w:after="60" w:line="235" w:lineRule="auto"/>
        <w:ind w:left="-15" w:right="-15" w:firstLine="0"/>
        <w:jc w:val="left"/>
      </w:pPr>
      <w:r>
        <w:rPr>
          <w:rFonts w:ascii="Arial" w:eastAsia="Arial" w:hAnsi="Arial" w:cs="Arial"/>
          <w:sz w:val="16"/>
        </w:rPr>
        <w:t>Previous edition is obsolete</w:t>
      </w:r>
      <w:r>
        <w:rPr>
          <w:rFonts w:ascii="Arial" w:eastAsia="Arial" w:hAnsi="Arial" w:cs="Arial"/>
          <w:sz w:val="16"/>
        </w:rPr>
        <w:tab/>
        <w:t>page 2 of 2</w:t>
      </w:r>
      <w:r>
        <w:rPr>
          <w:rFonts w:ascii="Arial" w:eastAsia="Arial" w:hAnsi="Arial" w:cs="Arial"/>
          <w:sz w:val="16"/>
        </w:rPr>
        <w:tab/>
      </w:r>
      <w:r>
        <w:rPr>
          <w:rFonts w:ascii="Arial" w:eastAsia="Arial" w:hAnsi="Arial" w:cs="Arial"/>
          <w:sz w:val="25"/>
          <w:vertAlign w:val="subscript"/>
        </w:rPr>
        <w:t>ref. Handbook 7460.8</w:t>
      </w:r>
    </w:p>
    <w:sectPr w:rsidR="003E5445">
      <w:type w:val="continuous"/>
      <w:pgSz w:w="12240" w:h="15840"/>
      <w:pgMar w:top="741" w:right="480" w:bottom="438" w:left="4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1276E"/>
    <w:multiLevelType w:val="hybridMultilevel"/>
    <w:tmpl w:val="9EF0F270"/>
    <w:lvl w:ilvl="0" w:tplc="5F329B2A">
      <w:start w:val="1"/>
      <w:numFmt w:val="lowerLetter"/>
      <w:lvlText w:val="(%1)"/>
      <w:lvlJc w:val="left"/>
      <w:pPr>
        <w:ind w:left="3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1563BDE">
      <w:start w:val="1"/>
      <w:numFmt w:val="lowerRoman"/>
      <w:lvlText w:val="(%2)"/>
      <w:lvlJc w:val="left"/>
      <w:pPr>
        <w:ind w:left="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C72D798">
      <w:start w:val="1"/>
      <w:numFmt w:val="lowerRoman"/>
      <w:lvlText w:val="%3"/>
      <w:lvlJc w:val="left"/>
      <w:pPr>
        <w:ind w:left="1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F6A3F3C">
      <w:start w:val="1"/>
      <w:numFmt w:val="decimal"/>
      <w:lvlText w:val="%4"/>
      <w:lvlJc w:val="left"/>
      <w:pPr>
        <w:ind w:left="2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3E054DA">
      <w:start w:val="1"/>
      <w:numFmt w:val="lowerLetter"/>
      <w:lvlText w:val="%5"/>
      <w:lvlJc w:val="left"/>
      <w:pPr>
        <w:ind w:left="3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88E16F6">
      <w:start w:val="1"/>
      <w:numFmt w:val="lowerRoman"/>
      <w:lvlText w:val="%6"/>
      <w:lvlJc w:val="left"/>
      <w:pPr>
        <w:ind w:left="38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4F4CE30">
      <w:start w:val="1"/>
      <w:numFmt w:val="decimal"/>
      <w:lvlText w:val="%7"/>
      <w:lvlJc w:val="left"/>
      <w:pPr>
        <w:ind w:left="45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E48A83E">
      <w:start w:val="1"/>
      <w:numFmt w:val="lowerLetter"/>
      <w:lvlText w:val="%8"/>
      <w:lvlJc w:val="left"/>
      <w:pPr>
        <w:ind w:left="52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BE0C71E">
      <w:start w:val="1"/>
      <w:numFmt w:val="lowerRoman"/>
      <w:lvlText w:val="%9"/>
      <w:lvlJc w:val="left"/>
      <w:pPr>
        <w:ind w:left="60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F111F5D"/>
    <w:multiLevelType w:val="hybridMultilevel"/>
    <w:tmpl w:val="EAE4EADA"/>
    <w:lvl w:ilvl="0" w:tplc="66AEB0BE">
      <w:start w:val="1"/>
      <w:numFmt w:val="lowerLetter"/>
      <w:lvlText w:val="(%1)"/>
      <w:lvlJc w:val="left"/>
      <w:pPr>
        <w:ind w:left="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EC22660">
      <w:start w:val="1"/>
      <w:numFmt w:val="decimal"/>
      <w:lvlText w:val="(%2)"/>
      <w:lvlJc w:val="left"/>
      <w:pPr>
        <w:ind w:left="59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6D84A56">
      <w:start w:val="1"/>
      <w:numFmt w:val="lowerRoman"/>
      <w:lvlText w:val="%3"/>
      <w:lvlJc w:val="left"/>
      <w:pPr>
        <w:ind w:left="13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2FEE76A">
      <w:start w:val="1"/>
      <w:numFmt w:val="decimal"/>
      <w:lvlText w:val="%4"/>
      <w:lvlJc w:val="left"/>
      <w:pPr>
        <w:ind w:left="21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D78E906">
      <w:start w:val="1"/>
      <w:numFmt w:val="lowerLetter"/>
      <w:lvlText w:val="%5"/>
      <w:lvlJc w:val="left"/>
      <w:pPr>
        <w:ind w:left="28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65CBC36">
      <w:start w:val="1"/>
      <w:numFmt w:val="lowerRoman"/>
      <w:lvlText w:val="%6"/>
      <w:lvlJc w:val="left"/>
      <w:pPr>
        <w:ind w:left="35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8DCCC2A">
      <w:start w:val="1"/>
      <w:numFmt w:val="decimal"/>
      <w:lvlText w:val="%7"/>
      <w:lvlJc w:val="left"/>
      <w:pPr>
        <w:ind w:left="42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792918A">
      <w:start w:val="1"/>
      <w:numFmt w:val="lowerLetter"/>
      <w:lvlText w:val="%8"/>
      <w:lvlJc w:val="left"/>
      <w:pPr>
        <w:ind w:left="49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D34568A">
      <w:start w:val="1"/>
      <w:numFmt w:val="lowerRoman"/>
      <w:lvlText w:val="%9"/>
      <w:lvlJc w:val="left"/>
      <w:pPr>
        <w:ind w:left="57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27941BF9"/>
    <w:multiLevelType w:val="hybridMultilevel"/>
    <w:tmpl w:val="885E0662"/>
    <w:lvl w:ilvl="0" w:tplc="4B4E6682">
      <w:start w:val="1"/>
      <w:numFmt w:val="lowerLetter"/>
      <w:lvlText w:val="(%1)"/>
      <w:lvlJc w:val="left"/>
      <w:pPr>
        <w:ind w:left="3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E7CCDB0">
      <w:start w:val="1"/>
      <w:numFmt w:val="decimal"/>
      <w:lvlText w:val="(%2)"/>
      <w:lvlJc w:val="left"/>
      <w:pPr>
        <w:ind w:left="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334BAC0">
      <w:start w:val="2"/>
      <w:numFmt w:val="lowerRoman"/>
      <w:lvlText w:val="(%3)"/>
      <w:lvlJc w:val="left"/>
      <w:pPr>
        <w:ind w:left="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AEE4656">
      <w:start w:val="1"/>
      <w:numFmt w:val="decimal"/>
      <w:lvlText w:val="%4"/>
      <w:lvlJc w:val="left"/>
      <w:pPr>
        <w:ind w:left="1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FBC449E">
      <w:start w:val="1"/>
      <w:numFmt w:val="lowerLetter"/>
      <w:lvlText w:val="%5"/>
      <w:lvlJc w:val="left"/>
      <w:pPr>
        <w:ind w:left="2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57ED8C2">
      <w:start w:val="1"/>
      <w:numFmt w:val="lowerRoman"/>
      <w:lvlText w:val="%6"/>
      <w:lvlJc w:val="left"/>
      <w:pPr>
        <w:ind w:left="3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E701AFA">
      <w:start w:val="1"/>
      <w:numFmt w:val="decimal"/>
      <w:lvlText w:val="%7"/>
      <w:lvlJc w:val="left"/>
      <w:pPr>
        <w:ind w:left="38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E9ED4AE">
      <w:start w:val="1"/>
      <w:numFmt w:val="lowerLetter"/>
      <w:lvlText w:val="%8"/>
      <w:lvlJc w:val="left"/>
      <w:pPr>
        <w:ind w:left="45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0F8F740">
      <w:start w:val="1"/>
      <w:numFmt w:val="lowerRoman"/>
      <w:lvlText w:val="%9"/>
      <w:lvlJc w:val="left"/>
      <w:pPr>
        <w:ind w:left="52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343E63A0"/>
    <w:multiLevelType w:val="hybridMultilevel"/>
    <w:tmpl w:val="550633C4"/>
    <w:lvl w:ilvl="0" w:tplc="471421AE">
      <w:start w:val="1"/>
      <w:numFmt w:val="lowerLetter"/>
      <w:lvlText w:val="(%1)"/>
      <w:lvlJc w:val="left"/>
      <w:pPr>
        <w:ind w:left="3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606D7B2">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6CC4E8">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98E710C">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60D776">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90E30EA">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13EE5D0">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5D25DE6">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BCEB09E">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397340AE"/>
    <w:multiLevelType w:val="hybridMultilevel"/>
    <w:tmpl w:val="3E188108"/>
    <w:lvl w:ilvl="0" w:tplc="78DAADF6">
      <w:start w:val="1"/>
      <w:numFmt w:val="decimal"/>
      <w:pStyle w:val="Heading1"/>
      <w:lvlText w:val="%1."/>
      <w:lvlJc w:val="left"/>
      <w:pPr>
        <w:ind w:left="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57EA12EE">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8952A8B4">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A0E4BE5A">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F856809C">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68120D82">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829AE6A8">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3C18B0F6">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5EC29BB8">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445"/>
    <w:rsid w:val="000C2A2D"/>
    <w:rsid w:val="003E54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B2228F-102C-43AA-A5E0-B47531485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0" w:line="260" w:lineRule="auto"/>
      <w:ind w:left="10" w:hanging="10"/>
      <w:jc w:val="both"/>
    </w:pPr>
    <w:rPr>
      <w:rFonts w:ascii="Times New Roman" w:eastAsia="Times New Roman" w:hAnsi="Times New Roman" w:cs="Times New Roman"/>
      <w:color w:val="000000"/>
      <w:sz w:val="20"/>
    </w:rPr>
  </w:style>
  <w:style w:type="paragraph" w:styleId="Heading1">
    <w:name w:val="heading 1"/>
    <w:next w:val="Normal"/>
    <w:link w:val="Heading1Char"/>
    <w:uiPriority w:val="9"/>
    <w:qFormat/>
    <w:pPr>
      <w:keepNext/>
      <w:keepLines/>
      <w:numPr>
        <w:numId w:val="5"/>
      </w:numPr>
      <w:spacing w:after="55" w:line="254" w:lineRule="auto"/>
      <w:ind w:left="10" w:hanging="10"/>
      <w:outlineLvl w:val="0"/>
    </w:pPr>
    <w:rPr>
      <w:rFonts w:ascii="Times New Roman" w:eastAsia="Times New Roman" w:hAnsi="Times New Roman" w:cs="Times New Roman"/>
      <w:b/>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1299</Words>
  <Characters>7407</Characters>
  <Application>Microsoft Office Word</Application>
  <DocSecurity>0</DocSecurity>
  <Lines>61</Lines>
  <Paragraphs>17</Paragraphs>
  <ScaleCrop>false</ScaleCrop>
  <Company>Woonsocket Housing Authority</Company>
  <LinksUpToDate>false</LinksUpToDate>
  <CharactersWithSpaces>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5369-C</dc:title>
  <dc:subject>5369-C</dc:subject>
  <dc:creator>ELK</dc:creator>
  <cp:keywords/>
  <cp:lastModifiedBy>Susan Castrataro</cp:lastModifiedBy>
  <cp:revision>2</cp:revision>
  <dcterms:created xsi:type="dcterms:W3CDTF">2022-03-29T15:40:00Z</dcterms:created>
  <dcterms:modified xsi:type="dcterms:W3CDTF">2022-03-29T15:40:00Z</dcterms:modified>
</cp:coreProperties>
</file>